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102" w:type="dxa"/>
        <w:tblLayout w:type="fixed"/>
        <w:tblLook w:val="01E0" w:firstRow="1" w:lastRow="1" w:firstColumn="1" w:lastColumn="1" w:noHBand="0" w:noVBand="0"/>
      </w:tblPr>
      <w:tblGrid>
        <w:gridCol w:w="11115"/>
      </w:tblGrid>
      <w:tr w:rsidR="0027619E" w:rsidRPr="0027619E" w14:paraId="2363DB64" w14:textId="77777777" w:rsidTr="00BC5501">
        <w:trPr>
          <w:trHeight w:hRule="exact" w:val="1035"/>
        </w:trPr>
        <w:tc>
          <w:tcPr>
            <w:tcW w:w="11115" w:type="dxa"/>
            <w:tcBorders>
              <w:top w:val="single" w:sz="6" w:space="0" w:color="000000"/>
              <w:left w:val="single" w:sz="6" w:space="0" w:color="000000"/>
              <w:bottom w:val="single" w:sz="6" w:space="0" w:color="000000"/>
              <w:right w:val="single" w:sz="6" w:space="0" w:color="000000"/>
            </w:tcBorders>
          </w:tcPr>
          <w:p w14:paraId="72C13FC9" w14:textId="77777777" w:rsidR="0027619E" w:rsidRPr="0027619E" w:rsidRDefault="0027619E" w:rsidP="0027619E">
            <w:pPr>
              <w:spacing w:before="12"/>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202</w:t>
            </w:r>
            <w:r w:rsidR="009A078C">
              <w:rPr>
                <w:rFonts w:ascii="黑体" w:eastAsia="黑体" w:hAnsi="黑体" w:cs="黑体"/>
                <w:sz w:val="24"/>
                <w:szCs w:val="24"/>
                <w:lang w:eastAsia="zh-CN"/>
              </w:rPr>
              <w:t>3</w:t>
            </w:r>
            <w:r w:rsidRPr="0027619E">
              <w:rPr>
                <w:rFonts w:ascii="黑体" w:eastAsia="黑体" w:hAnsi="黑体" w:cs="黑体"/>
                <w:sz w:val="24"/>
                <w:szCs w:val="24"/>
                <w:lang w:eastAsia="zh-CN"/>
              </w:rPr>
              <w:t>年招生计划</w:t>
            </w:r>
          </w:p>
          <w:p w14:paraId="7AB8ECDD" w14:textId="77777777" w:rsidR="0027619E" w:rsidRPr="0027619E" w:rsidRDefault="0027619E" w:rsidP="0027619E">
            <w:pPr>
              <w:spacing w:before="211"/>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六、预计招收博士生的课题研究方向和研究工作简介</w:t>
            </w:r>
          </w:p>
        </w:tc>
      </w:tr>
      <w:tr w:rsidR="0027619E" w:rsidRPr="0027619E" w14:paraId="4AB86274" w14:textId="77777777" w:rsidTr="00BC5501">
        <w:trPr>
          <w:trHeight w:hRule="exact" w:val="1170"/>
        </w:trPr>
        <w:tc>
          <w:tcPr>
            <w:tcW w:w="11115" w:type="dxa"/>
            <w:tcBorders>
              <w:top w:val="single" w:sz="6" w:space="0" w:color="000000"/>
              <w:left w:val="single" w:sz="6" w:space="0" w:color="000000"/>
              <w:bottom w:val="single" w:sz="6" w:space="0" w:color="000000"/>
              <w:right w:val="single" w:sz="6" w:space="0" w:color="000000"/>
            </w:tcBorders>
          </w:tcPr>
          <w:p w14:paraId="48E43D9B" w14:textId="3926C95B" w:rsidR="0027619E" w:rsidRPr="0027619E" w:rsidRDefault="0027619E" w:rsidP="0027619E">
            <w:pPr>
              <w:spacing w:line="311" w:lineRule="exact"/>
              <w:ind w:left="187"/>
              <w:jc w:val="left"/>
              <w:rPr>
                <w:rFonts w:ascii="宋体" w:eastAsia="宋体" w:hAnsi="宋体" w:cs="宋体"/>
                <w:lang w:eastAsia="zh-CN"/>
              </w:rPr>
            </w:pPr>
            <w:r w:rsidRPr="0027619E">
              <w:rPr>
                <w:rFonts w:ascii="黑体" w:eastAsia="黑体" w:hAnsi="黑体" w:cs="黑体"/>
                <w:sz w:val="24"/>
                <w:szCs w:val="24"/>
                <w:lang w:eastAsia="zh-CN"/>
              </w:rPr>
              <w:t>1.博士论文研究方向：</w:t>
            </w:r>
            <w:r w:rsidR="00960B6A" w:rsidRPr="00960B6A">
              <w:rPr>
                <w:rFonts w:ascii="黑体" w:eastAsia="黑体" w:hAnsi="黑体" w:cs="黑体" w:hint="eastAsia"/>
                <w:sz w:val="24"/>
                <w:szCs w:val="24"/>
                <w:lang w:eastAsia="zh-CN"/>
              </w:rPr>
              <w:t>微液滴内颗粒的原位非线性电动操控机制及实验研究</w:t>
            </w:r>
          </w:p>
          <w:p w14:paraId="771C3893" w14:textId="77777777" w:rsidR="0027619E" w:rsidRPr="0027619E" w:rsidRDefault="0027619E" w:rsidP="0027619E">
            <w:pPr>
              <w:tabs>
                <w:tab w:val="left" w:pos="3674"/>
                <w:tab w:val="left" w:pos="7199"/>
              </w:tabs>
              <w:spacing w:before="129"/>
              <w:ind w:right="659"/>
              <w:jc w:val="center"/>
              <w:rPr>
                <w:rFonts w:ascii="宋体" w:eastAsia="宋体" w:hAnsi="宋体" w:cs="宋体"/>
                <w:lang w:eastAsia="zh-CN"/>
              </w:rPr>
            </w:pPr>
            <w:r w:rsidRPr="0027619E">
              <w:rPr>
                <w:rFonts w:ascii="宋体" w:eastAsia="宋体" w:hAnsi="宋体" w:cs="宋体"/>
                <w:lang w:eastAsia="zh-CN"/>
              </w:rPr>
              <w:t>选题类别：</w:t>
            </w:r>
            <w:r w:rsidRPr="0027619E">
              <w:rPr>
                <w:rFonts w:ascii="宋体" w:eastAsia="宋体" w:hAnsi="宋体" w:cs="宋体"/>
                <w:spacing w:val="-2"/>
                <w:lang w:eastAsia="zh-CN"/>
              </w:rPr>
              <w:t xml:space="preserve"> </w:t>
            </w:r>
            <w:r w:rsidRPr="0027619E">
              <w:rPr>
                <w:rFonts w:ascii="宋体" w:eastAsia="宋体" w:hAnsi="宋体" w:cs="宋体"/>
                <w:lang w:eastAsia="zh-CN"/>
              </w:rPr>
              <w:t>□基础性研究</w:t>
            </w:r>
            <w:r w:rsidRPr="0027619E">
              <w:rPr>
                <w:rFonts w:ascii="宋体" w:eastAsia="宋体" w:hAnsi="宋体" w:cs="宋体"/>
                <w:lang w:eastAsia="zh-CN"/>
              </w:rPr>
              <w:tab/>
            </w:r>
            <w:r w:rsidR="00CD076A" w:rsidRPr="0027619E">
              <w:rPr>
                <w:rFonts w:ascii="宋体" w:eastAsia="宋体" w:hAnsi="宋体" w:cs="宋体"/>
                <w:lang w:eastAsia="zh-CN"/>
              </w:rPr>
              <w:t>□</w:t>
            </w:r>
            <w:r w:rsidRPr="0027619E">
              <w:rPr>
                <w:rFonts w:ascii="宋体" w:eastAsia="宋体" w:hAnsi="宋体" w:cs="宋体"/>
                <w:lang w:eastAsia="zh-CN"/>
              </w:rPr>
              <w:t>应用性研究</w:t>
            </w:r>
            <w:r w:rsidRPr="0027619E">
              <w:rPr>
                <w:rFonts w:ascii="宋体" w:eastAsia="宋体" w:hAnsi="宋体" w:cs="宋体"/>
                <w:lang w:eastAsia="zh-CN"/>
              </w:rPr>
              <w:tab/>
            </w:r>
            <w:r w:rsidR="00CD076A" w:rsidRPr="0027619E">
              <w:rPr>
                <w:rFonts w:ascii="宋体" w:eastAsia="宋体" w:hAnsi="宋体" w:cs="宋体"/>
                <w:lang w:eastAsia="zh-CN"/>
              </w:rPr>
              <w:t>□</w:t>
            </w:r>
            <w:r w:rsidRPr="0027619E">
              <w:rPr>
                <w:rFonts w:ascii="宋体" w:eastAsia="宋体" w:hAnsi="宋体" w:cs="宋体"/>
                <w:lang w:eastAsia="zh-CN"/>
              </w:rPr>
              <w:t>工程技术攻关研究</w:t>
            </w:r>
          </w:p>
          <w:p w14:paraId="10B3545E" w14:textId="5730D936" w:rsidR="0027619E" w:rsidRPr="0027619E" w:rsidRDefault="00CD076A" w:rsidP="0027619E">
            <w:pPr>
              <w:tabs>
                <w:tab w:val="left" w:pos="2489"/>
                <w:tab w:val="left" w:pos="6014"/>
              </w:tabs>
              <w:spacing w:before="42"/>
              <w:ind w:right="824"/>
              <w:jc w:val="center"/>
              <w:rPr>
                <w:rFonts w:ascii="宋体" w:eastAsia="宋体" w:hAnsi="宋体" w:cs="宋体"/>
                <w:lang w:eastAsia="zh-CN"/>
              </w:rPr>
            </w:pPr>
            <w:r w:rsidRPr="0027619E">
              <w:rPr>
                <w:rFonts w:ascii="宋体" w:eastAsia="宋体" w:hAnsi="宋体" w:cs="宋体"/>
                <w:lang w:eastAsia="zh-CN"/>
              </w:rPr>
              <w:t>□</w:t>
            </w:r>
            <w:r w:rsidR="0027619E" w:rsidRPr="0027619E">
              <w:rPr>
                <w:rFonts w:ascii="宋体" w:eastAsia="宋体" w:hAnsi="宋体" w:cs="宋体"/>
                <w:lang w:eastAsia="zh-CN"/>
              </w:rPr>
              <w:t>新开辟的研究方向</w:t>
            </w:r>
            <w:r w:rsidR="0027619E" w:rsidRPr="0027619E">
              <w:rPr>
                <w:rFonts w:ascii="宋体" w:eastAsia="宋体" w:hAnsi="宋体" w:cs="宋体"/>
                <w:lang w:eastAsia="zh-CN"/>
              </w:rPr>
              <w:tab/>
            </w:r>
            <w:r w:rsidR="00C6213A">
              <w:rPr>
                <w:rFonts w:ascii="宋体" w:eastAsia="宋体" w:hAnsi="宋体" w:cs="宋体"/>
                <w:lang w:eastAsia="zh-CN"/>
              </w:rPr>
              <w:sym w:font="Wingdings 2" w:char="F052"/>
            </w:r>
            <w:r w:rsidR="0027619E" w:rsidRPr="0027619E">
              <w:rPr>
                <w:rFonts w:ascii="宋体" w:eastAsia="宋体" w:hAnsi="宋体" w:cs="宋体"/>
                <w:lang w:eastAsia="zh-CN"/>
              </w:rPr>
              <w:t>已有研究方向的继续</w:t>
            </w:r>
            <w:r w:rsidR="0027619E" w:rsidRPr="0027619E">
              <w:rPr>
                <w:rFonts w:ascii="宋体" w:eastAsia="宋体" w:hAnsi="宋体" w:cs="宋体"/>
                <w:lang w:eastAsia="zh-CN"/>
              </w:rPr>
              <w:tab/>
              <w:t>□其他</w:t>
            </w:r>
          </w:p>
        </w:tc>
      </w:tr>
      <w:tr w:rsidR="0027619E" w:rsidRPr="0027619E" w14:paraId="5CAF9D1A" w14:textId="77777777" w:rsidTr="0027619E">
        <w:trPr>
          <w:trHeight w:hRule="exact" w:val="10995"/>
        </w:trPr>
        <w:tc>
          <w:tcPr>
            <w:tcW w:w="11115" w:type="dxa"/>
            <w:tcBorders>
              <w:top w:val="single" w:sz="6" w:space="0" w:color="000000"/>
              <w:left w:val="single" w:sz="6" w:space="0" w:color="000000"/>
              <w:bottom w:val="single" w:sz="6" w:space="0" w:color="000000"/>
              <w:right w:val="single" w:sz="6" w:space="0" w:color="000000"/>
            </w:tcBorders>
          </w:tcPr>
          <w:p w14:paraId="7AE6DE79" w14:textId="77777777" w:rsidR="0027619E" w:rsidRDefault="0027619E" w:rsidP="0027619E">
            <w:pPr>
              <w:spacing w:line="311" w:lineRule="exact"/>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2.博士论文的选题背景及意义和主要研究内容简介</w:t>
            </w:r>
          </w:p>
          <w:p w14:paraId="0E3E0CEA" w14:textId="77777777" w:rsidR="00C6213A" w:rsidRDefault="00C6213A" w:rsidP="0027619E">
            <w:pPr>
              <w:spacing w:line="311" w:lineRule="exact"/>
              <w:ind w:left="187"/>
              <w:jc w:val="left"/>
              <w:rPr>
                <w:rFonts w:ascii="黑体" w:eastAsia="黑体" w:hAnsi="黑体" w:cs="黑体"/>
                <w:sz w:val="24"/>
                <w:szCs w:val="24"/>
                <w:lang w:eastAsia="zh-CN"/>
              </w:rPr>
            </w:pPr>
          </w:p>
          <w:p w14:paraId="6186B449" w14:textId="779581DC" w:rsidR="00C6213A" w:rsidRDefault="00C6213A" w:rsidP="00C42DDD">
            <w:pPr>
              <w:spacing w:line="311" w:lineRule="exact"/>
              <w:ind w:left="187" w:firstLineChars="200" w:firstLine="480"/>
              <w:jc w:val="left"/>
              <w:rPr>
                <w:rFonts w:ascii="宋体" w:eastAsia="宋体" w:hAnsi="宋体" w:cs="黑体"/>
                <w:sz w:val="24"/>
                <w:szCs w:val="24"/>
                <w:lang w:eastAsia="zh-CN"/>
              </w:rPr>
            </w:pPr>
            <w:r w:rsidRPr="00C6213A">
              <w:rPr>
                <w:rFonts w:ascii="宋体" w:eastAsia="宋体" w:hAnsi="宋体" w:cs="黑体"/>
                <w:sz w:val="24"/>
                <w:szCs w:val="24"/>
                <w:lang w:eastAsia="zh-CN"/>
              </w:rPr>
              <w:t>2023年拟招收博士研究生1人。博士论文的研究方向为：微液滴内颗粒的原位非线性电动操控机制及实验研究。免疫检测技术是确定病变原因及机体免疫状态是否正常的重要方法，在新冠病毒临床诊断及各种生物分析检测中有着广阔的应用前景。然而，现有免疫分析方法中反应起始时间和抗原抗体浓度难以按需灵活调控限制了进一步发展。为此，本项目拟基于导电介质的非线性电动力学，实现游离抗原和被抗体包被颗粒在连续流动微液滴内的原位富集与子液滴提取，为后续检测奠定基础。首先，探索双入流水相同步反向极化的液滴对同时生成与电融和机理。然后，分别利</w:t>
            </w:r>
            <w:r w:rsidRPr="00C6213A">
              <w:rPr>
                <w:rFonts w:ascii="宋体" w:eastAsia="宋体" w:hAnsi="宋体" w:cs="黑体" w:hint="eastAsia"/>
                <w:sz w:val="24"/>
                <w:szCs w:val="24"/>
                <w:lang w:eastAsia="zh-CN"/>
              </w:rPr>
              <w:t>用倾斜电极条纹阵列和平面三电极配置激发不同多频电热流动模态，顺序实现有限空间微液滴内颗粒的高效混合和定位富集。接着，建立跨尺度全耦合有限元多相电对流仿真模型，阐明混合型行波</w:t>
            </w:r>
            <w:r w:rsidRPr="00C6213A">
              <w:rPr>
                <w:rFonts w:ascii="宋体" w:eastAsia="宋体" w:hAnsi="宋体" w:cs="黑体"/>
                <w:sz w:val="24"/>
                <w:szCs w:val="24"/>
                <w:lang w:eastAsia="zh-CN"/>
              </w:rPr>
              <w:t>/驻波电热和双频交流电热流动晶体管之间的动态协调关系。最后，实验评估几类疾病抗原分子浓度的在线检测效果。本课题涉及微液滴内颗粒原位非线性电动力学行为机制的本源，将为片上精准免疫检测研究提供一种有效的样本预处理方法。</w:t>
            </w:r>
          </w:p>
          <w:p w14:paraId="1814EEE8" w14:textId="77777777" w:rsidR="00C42DDD" w:rsidRPr="00C42DDD" w:rsidRDefault="00C42DDD" w:rsidP="00C42DDD">
            <w:pPr>
              <w:spacing w:line="311" w:lineRule="exact"/>
              <w:ind w:left="187" w:firstLineChars="200" w:firstLine="480"/>
              <w:jc w:val="left"/>
              <w:rPr>
                <w:rFonts w:ascii="宋体" w:eastAsia="宋体" w:hAnsi="宋体" w:cs="黑体"/>
                <w:sz w:val="24"/>
                <w:szCs w:val="24"/>
                <w:lang w:eastAsia="zh-CN"/>
              </w:rPr>
            </w:pPr>
            <w:r w:rsidRPr="00C42DDD">
              <w:rPr>
                <w:rFonts w:ascii="宋体" w:eastAsia="宋体" w:hAnsi="宋体" w:cs="黑体" w:hint="eastAsia"/>
                <w:sz w:val="24"/>
                <w:szCs w:val="24"/>
                <w:lang w:eastAsia="zh-CN"/>
              </w:rPr>
              <w:t>免疫检测技术是基于抗体抗原反应的原理对待测物进行定量定性分析的检测方法，具有特异性强、灵敏度高、简便等优点，是现代生命科学的重要研究手段，在生物分析检测领域有着广泛的应用前景。在医学上，它是确定疾病的病因和病变部位，或是确定机体免疫状态是否正常的重要方法，广泛应用于医院、血站、体检中心，主要用于肝炎检测、性病检测、肿瘤检测、孕检等。然而传统免疫检测方法需求大量样本体积，而且每次免疫检测所需的成本和时间巨大，限制了其临床实用性。解决传统免疫测定缺点的一种潜在方法是使用微流控将免疫分析进行小型化。微流体通道较小的尺度能够减小扩散时间和试剂消耗，从而加快分析速度并降低每次分析的成本。此外，使用简单、紧凑的仪器设备，就可以实现微流体中自动化的流体处理过程，这大大减小了测试设备的尺寸和运行成本。</w:t>
            </w:r>
          </w:p>
          <w:p w14:paraId="1EA5E0D9" w14:textId="3DA3BB33" w:rsidR="00C42DDD" w:rsidRPr="00C6213A" w:rsidRDefault="00C42DDD" w:rsidP="00C42DDD">
            <w:pPr>
              <w:spacing w:line="311" w:lineRule="exact"/>
              <w:ind w:left="187" w:firstLineChars="200" w:firstLine="480"/>
              <w:jc w:val="left"/>
              <w:rPr>
                <w:rFonts w:ascii="宋体" w:eastAsia="宋体" w:hAnsi="宋体" w:cs="黑体"/>
                <w:sz w:val="24"/>
                <w:szCs w:val="24"/>
                <w:lang w:eastAsia="zh-CN"/>
              </w:rPr>
            </w:pPr>
            <w:r w:rsidRPr="00C42DDD">
              <w:rPr>
                <w:rFonts w:ascii="宋体" w:eastAsia="宋体" w:hAnsi="宋体" w:cs="黑体" w:hint="eastAsia"/>
                <w:sz w:val="24"/>
                <w:szCs w:val="24"/>
                <w:lang w:eastAsia="zh-CN"/>
              </w:rPr>
              <w:t>过去的</w:t>
            </w:r>
            <w:r w:rsidRPr="00C42DDD">
              <w:rPr>
                <w:rFonts w:ascii="宋体" w:eastAsia="宋体" w:hAnsi="宋体" w:cs="黑体"/>
                <w:sz w:val="24"/>
                <w:szCs w:val="24"/>
                <w:lang w:eastAsia="zh-CN"/>
              </w:rPr>
              <w:t>20年里，研究者们在开发具有不同配置和流体处理方案的微流控免疫测定方法方面已经做出了重大努力，但是抗体抗原结合反应难以按需灵活调控，反应后样本浓度难以提高限制了进一步发展。针对如上问题，本项目拟将非线性电动力学引入到液滴内部微粒的在线式主动操控中，独辟蹊径的提出了微液滴内颗粒的原位非线性电动操控方法，按需灵活调控免疫反应结合速率和对功能化微粒在目标子液滴中的富集，达到利用微量样本快速、低成本实现离散液滴阵列内部疾病抗原分子的快速甄别及浓度检测的目的，为确定疾病的病因或病变部位提供判断依据，实现疾病的早</w:t>
            </w:r>
            <w:r w:rsidRPr="00C42DDD">
              <w:rPr>
                <w:rFonts w:ascii="宋体" w:eastAsia="宋体" w:hAnsi="宋体" w:cs="黑体" w:hint="eastAsia"/>
                <w:sz w:val="24"/>
                <w:szCs w:val="24"/>
                <w:lang w:eastAsia="zh-CN"/>
              </w:rPr>
              <w:t>发现和早诊断，同时对连续流动液滴及内部颗粒的非线性电动操控理论进一步发展，具有重要的学术研究意义和工程实用价值。</w:t>
            </w:r>
          </w:p>
        </w:tc>
      </w:tr>
      <w:tr w:rsidR="0027619E" w:rsidRPr="0027619E" w14:paraId="64C9FA1E" w14:textId="77777777" w:rsidTr="0027619E">
        <w:trPr>
          <w:trHeight w:hRule="exact" w:val="1943"/>
        </w:trPr>
        <w:tc>
          <w:tcPr>
            <w:tcW w:w="11115" w:type="dxa"/>
            <w:tcBorders>
              <w:top w:val="single" w:sz="6" w:space="0" w:color="000000"/>
              <w:left w:val="single" w:sz="6" w:space="0" w:color="000000"/>
              <w:bottom w:val="single" w:sz="6" w:space="0" w:color="000000"/>
              <w:right w:val="single" w:sz="6" w:space="0" w:color="000000"/>
            </w:tcBorders>
          </w:tcPr>
          <w:p w14:paraId="582AD818" w14:textId="77777777" w:rsidR="0027619E" w:rsidRPr="0027619E" w:rsidRDefault="0027619E" w:rsidP="0027619E">
            <w:pPr>
              <w:spacing w:before="27"/>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3.该选题所依托的科研项目或研究经费来源情况</w:t>
            </w:r>
          </w:p>
          <w:p w14:paraId="29DEFF34" w14:textId="77777777" w:rsidR="0027619E" w:rsidRDefault="00C42DDD" w:rsidP="0027619E">
            <w:pPr>
              <w:spacing w:before="69"/>
              <w:ind w:left="67"/>
              <w:jc w:val="left"/>
              <w:rPr>
                <w:rFonts w:ascii="宋体" w:eastAsia="宋体" w:hAnsi="宋体" w:cs="宋体"/>
                <w:lang w:eastAsia="zh-CN"/>
              </w:rPr>
            </w:pPr>
            <w:r w:rsidRPr="00C42DDD">
              <w:rPr>
                <w:rFonts w:ascii="宋体" w:eastAsia="宋体" w:hAnsi="宋体" w:cs="宋体" w:hint="eastAsia"/>
                <w:lang w:eastAsia="zh-CN"/>
              </w:rPr>
              <w:t>该课题得到两项科研项目支持：</w:t>
            </w:r>
          </w:p>
          <w:p w14:paraId="12A2AD8B" w14:textId="77777777" w:rsidR="00C42DDD" w:rsidRPr="00C42DDD" w:rsidRDefault="00C42DDD" w:rsidP="00C42DDD">
            <w:pPr>
              <w:spacing w:before="69"/>
              <w:ind w:left="67"/>
              <w:jc w:val="left"/>
              <w:rPr>
                <w:rFonts w:ascii="宋体" w:eastAsia="宋体" w:hAnsi="宋体" w:cs="宋体"/>
                <w:lang w:eastAsia="zh-CN"/>
              </w:rPr>
            </w:pPr>
            <w:r w:rsidRPr="00C42DDD">
              <w:rPr>
                <w:rFonts w:ascii="宋体" w:eastAsia="宋体" w:hAnsi="宋体" w:cs="宋体"/>
                <w:lang w:eastAsia="zh-CN"/>
              </w:rPr>
              <w:t>1.</w:t>
            </w:r>
            <w:r w:rsidRPr="00C42DDD">
              <w:rPr>
                <w:rFonts w:ascii="宋体" w:eastAsia="宋体" w:hAnsi="宋体" w:cs="宋体"/>
                <w:lang w:eastAsia="zh-CN"/>
              </w:rPr>
              <w:tab/>
              <w:t>国家自然科学基金，项目号：12072096，“微液滴内颗粒的原位非线性电动操控机制及实验研究”</w:t>
            </w:r>
          </w:p>
          <w:p w14:paraId="7EB0EEE6" w14:textId="05E85A28" w:rsidR="00C42DDD" w:rsidRPr="0027619E" w:rsidRDefault="00C42DDD" w:rsidP="00C42DDD">
            <w:pPr>
              <w:spacing w:before="69"/>
              <w:ind w:left="67"/>
              <w:jc w:val="left"/>
              <w:rPr>
                <w:rFonts w:ascii="宋体" w:eastAsia="宋体" w:hAnsi="宋体" w:cs="宋体"/>
                <w:lang w:eastAsia="zh-CN"/>
              </w:rPr>
            </w:pPr>
            <w:r w:rsidRPr="00C42DDD">
              <w:rPr>
                <w:rFonts w:ascii="宋体" w:eastAsia="宋体" w:hAnsi="宋体" w:cs="宋体"/>
                <w:lang w:eastAsia="zh-CN"/>
              </w:rPr>
              <w:t>2.</w:t>
            </w:r>
            <w:r w:rsidRPr="00C42DDD">
              <w:rPr>
                <w:rFonts w:ascii="宋体" w:eastAsia="宋体" w:hAnsi="宋体" w:cs="宋体"/>
                <w:lang w:eastAsia="zh-CN"/>
              </w:rPr>
              <w:tab/>
              <w:t>黑龙江省“揭榜挂帅”科技攻关项目子课题，项目批准号：</w:t>
            </w:r>
            <w:proofErr w:type="spellStart"/>
            <w:r w:rsidRPr="00C42DDD">
              <w:rPr>
                <w:rFonts w:ascii="宋体" w:eastAsia="宋体" w:hAnsi="宋体" w:cs="宋体"/>
                <w:lang w:eastAsia="zh-CN"/>
              </w:rPr>
              <w:t>2022ZXJ01A02</w:t>
            </w:r>
            <w:proofErr w:type="spellEnd"/>
            <w:r w:rsidRPr="00C42DDD">
              <w:rPr>
                <w:rFonts w:ascii="宋体" w:eastAsia="宋体" w:hAnsi="宋体" w:cs="宋体"/>
                <w:lang w:eastAsia="zh-CN"/>
              </w:rPr>
              <w:t>，“高温高压阀门数字化检测、远程运维技术研究”</w:t>
            </w:r>
          </w:p>
        </w:tc>
      </w:tr>
    </w:tbl>
    <w:p w14:paraId="338D47D0" w14:textId="77777777" w:rsidR="00A61294" w:rsidRPr="0027619E" w:rsidRDefault="00A61294"/>
    <w:sectPr w:rsidR="00A61294" w:rsidRPr="0027619E" w:rsidSect="0027619E">
      <w:pgSz w:w="11906" w:h="16838"/>
      <w:pgMar w:top="567" w:right="567" w:bottom="567" w:left="56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B988C" w14:textId="77777777" w:rsidR="003D70FD" w:rsidRDefault="003D70FD" w:rsidP="0027619E">
      <w:r>
        <w:separator/>
      </w:r>
    </w:p>
  </w:endnote>
  <w:endnote w:type="continuationSeparator" w:id="0">
    <w:p w14:paraId="420EA041" w14:textId="77777777" w:rsidR="003D70FD" w:rsidRDefault="003D70FD" w:rsidP="00276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FE9AD" w14:textId="77777777" w:rsidR="003D70FD" w:rsidRDefault="003D70FD" w:rsidP="0027619E">
      <w:r>
        <w:separator/>
      </w:r>
    </w:p>
  </w:footnote>
  <w:footnote w:type="continuationSeparator" w:id="0">
    <w:p w14:paraId="0F32E632" w14:textId="77777777" w:rsidR="003D70FD" w:rsidRDefault="003D70FD" w:rsidP="002761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A2F"/>
    <w:rsid w:val="001865EE"/>
    <w:rsid w:val="0027619E"/>
    <w:rsid w:val="003A2ED5"/>
    <w:rsid w:val="003D70FD"/>
    <w:rsid w:val="00407424"/>
    <w:rsid w:val="00423A2F"/>
    <w:rsid w:val="00482725"/>
    <w:rsid w:val="004D0345"/>
    <w:rsid w:val="007B60CE"/>
    <w:rsid w:val="00934853"/>
    <w:rsid w:val="00960B6A"/>
    <w:rsid w:val="00981B4B"/>
    <w:rsid w:val="009A078C"/>
    <w:rsid w:val="00A61294"/>
    <w:rsid w:val="00C42DDD"/>
    <w:rsid w:val="00C6213A"/>
    <w:rsid w:val="00CD076A"/>
    <w:rsid w:val="00CD3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68FC94"/>
  <w15:chartTrackingRefBased/>
  <w15:docId w15:val="{BDC07313-022A-408F-BBCA-D68C3C111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619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7619E"/>
    <w:rPr>
      <w:sz w:val="18"/>
      <w:szCs w:val="18"/>
    </w:rPr>
  </w:style>
  <w:style w:type="paragraph" w:styleId="a5">
    <w:name w:val="footer"/>
    <w:basedOn w:val="a"/>
    <w:link w:val="a6"/>
    <w:uiPriority w:val="99"/>
    <w:unhideWhenUsed/>
    <w:rsid w:val="0027619E"/>
    <w:pPr>
      <w:tabs>
        <w:tab w:val="center" w:pos="4153"/>
        <w:tab w:val="right" w:pos="8306"/>
      </w:tabs>
      <w:snapToGrid w:val="0"/>
      <w:jc w:val="left"/>
    </w:pPr>
    <w:rPr>
      <w:sz w:val="18"/>
      <w:szCs w:val="18"/>
    </w:rPr>
  </w:style>
  <w:style w:type="character" w:customStyle="1" w:styleId="a6">
    <w:name w:val="页脚 字符"/>
    <w:basedOn w:val="a0"/>
    <w:link w:val="a5"/>
    <w:uiPriority w:val="99"/>
    <w:rsid w:val="0027619E"/>
    <w:rPr>
      <w:sz w:val="18"/>
      <w:szCs w:val="18"/>
    </w:rPr>
  </w:style>
  <w:style w:type="table" w:customStyle="1" w:styleId="TableNormal">
    <w:name w:val="Table Normal"/>
    <w:uiPriority w:val="2"/>
    <w:semiHidden/>
    <w:unhideWhenUsed/>
    <w:qFormat/>
    <w:rsid w:val="0027619E"/>
    <w:pPr>
      <w:widowControl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211</Words>
  <Characters>1208</Characters>
  <Application>Microsoft Office Word</Application>
  <DocSecurity>0</DocSecurity>
  <Lines>10</Lines>
  <Paragraphs>2</Paragraphs>
  <ScaleCrop>false</ScaleCrop>
  <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Ye Tao</cp:lastModifiedBy>
  <cp:revision>4</cp:revision>
  <dcterms:created xsi:type="dcterms:W3CDTF">2023-04-10T01:17:00Z</dcterms:created>
  <dcterms:modified xsi:type="dcterms:W3CDTF">2023-04-11T03:00:00Z</dcterms:modified>
</cp:coreProperties>
</file>