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1115"/>
      </w:tblGrid>
      <w:tr w:rsidR="0027619E" w:rsidRPr="0027619E" w14:paraId="2ECF54A0" w14:textId="77777777" w:rsidTr="00BC5501">
        <w:trPr>
          <w:trHeight w:hRule="exact" w:val="1035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6AAD" w14:textId="77777777" w:rsidR="0027619E" w:rsidRPr="0027619E" w:rsidRDefault="0027619E" w:rsidP="0027619E">
            <w:pPr>
              <w:spacing w:before="12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202</w:t>
            </w:r>
            <w:r w:rsidR="009A078C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</w:t>
            </w: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年招生计划</w:t>
            </w:r>
          </w:p>
          <w:p w14:paraId="426B70B3" w14:textId="77777777" w:rsidR="0027619E" w:rsidRPr="0027619E" w:rsidRDefault="0027619E" w:rsidP="0027619E">
            <w:pPr>
              <w:spacing w:before="211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六、预计招收博士生的课题研究方向和研究工作简介</w:t>
            </w:r>
          </w:p>
        </w:tc>
      </w:tr>
      <w:tr w:rsidR="0027619E" w:rsidRPr="0027619E" w14:paraId="479FE780" w14:textId="77777777" w:rsidTr="00BC5501">
        <w:trPr>
          <w:trHeight w:hRule="exact" w:val="1170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508B" w14:textId="24B338DF" w:rsidR="0027619E" w:rsidRPr="0027619E" w:rsidRDefault="0027619E" w:rsidP="0027619E">
            <w:pPr>
              <w:spacing w:line="311" w:lineRule="exact"/>
              <w:ind w:left="187"/>
              <w:jc w:val="left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1.博士论文研究方向：</w:t>
            </w:r>
            <w:r w:rsidR="00F20133" w:rsidRPr="00F20133">
              <w:rPr>
                <w:rFonts w:ascii="宋体" w:eastAsia="宋体" w:hAnsi="宋体" w:cs="宋体" w:hint="eastAsia"/>
                <w:lang w:eastAsia="zh-CN"/>
              </w:rPr>
              <w:t>航空发动机智能</w:t>
            </w:r>
            <w:r w:rsidR="00F20133">
              <w:rPr>
                <w:rFonts w:ascii="宋体" w:eastAsia="宋体" w:hAnsi="宋体" w:cs="宋体" w:hint="eastAsia"/>
                <w:lang w:eastAsia="zh-CN"/>
              </w:rPr>
              <w:t>运</w:t>
            </w:r>
            <w:proofErr w:type="gramStart"/>
            <w:r w:rsidR="00F20133">
              <w:rPr>
                <w:rFonts w:ascii="宋体" w:eastAsia="宋体" w:hAnsi="宋体" w:cs="宋体" w:hint="eastAsia"/>
                <w:lang w:eastAsia="zh-CN"/>
              </w:rPr>
              <w:t>维</w:t>
            </w:r>
            <w:r w:rsidR="00F20133" w:rsidRPr="00F20133">
              <w:rPr>
                <w:rFonts w:ascii="宋体" w:eastAsia="宋体" w:hAnsi="宋体" w:cs="宋体" w:hint="eastAsia"/>
                <w:lang w:eastAsia="zh-CN"/>
              </w:rPr>
              <w:t>理论</w:t>
            </w:r>
            <w:proofErr w:type="gramEnd"/>
            <w:r w:rsidR="00F20133" w:rsidRPr="00F20133">
              <w:rPr>
                <w:rFonts w:ascii="宋体" w:eastAsia="宋体" w:hAnsi="宋体" w:cs="宋体" w:hint="eastAsia"/>
                <w:lang w:eastAsia="zh-CN"/>
              </w:rPr>
              <w:t>与技术研究</w:t>
            </w:r>
          </w:p>
          <w:p w14:paraId="6B94DD34" w14:textId="0642830F" w:rsidR="0027619E" w:rsidRPr="0027619E" w:rsidRDefault="0027619E" w:rsidP="0027619E">
            <w:pPr>
              <w:tabs>
                <w:tab w:val="left" w:pos="3674"/>
                <w:tab w:val="left" w:pos="7199"/>
              </w:tabs>
              <w:spacing w:before="129"/>
              <w:ind w:right="659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选题类别：</w:t>
            </w:r>
            <w:r w:rsidRPr="0027619E">
              <w:rPr>
                <w:rFonts w:ascii="宋体" w:eastAsia="宋体" w:hAnsi="宋体" w:cs="宋体"/>
                <w:spacing w:val="-2"/>
                <w:lang w:eastAsia="zh-CN"/>
              </w:rPr>
              <w:t xml:space="preserve"> </w:t>
            </w:r>
            <w:r w:rsidR="00B50DF8" w:rsidRPr="00B50DF8">
              <w:rPr>
                <w:rFonts w:ascii="宋体" w:eastAsia="宋体" w:hAnsi="宋体" w:cs="宋体" w:hint="eastAsia"/>
                <w:lang w:eastAsia="zh-CN"/>
              </w:rPr>
              <w:t>■</w:t>
            </w:r>
            <w:r w:rsidRPr="0027619E">
              <w:rPr>
                <w:rFonts w:ascii="宋体" w:eastAsia="宋体" w:hAnsi="宋体" w:cs="宋体"/>
                <w:lang w:eastAsia="zh-CN"/>
              </w:rPr>
              <w:t>基础性研究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B50DF8" w:rsidRPr="00B50DF8">
              <w:rPr>
                <w:rFonts w:ascii="宋体" w:eastAsia="宋体" w:hAnsi="宋体" w:cs="宋体" w:hint="eastAsia"/>
                <w:lang w:eastAsia="zh-CN"/>
              </w:rPr>
              <w:t>■</w:t>
            </w:r>
            <w:r w:rsidRPr="0027619E">
              <w:rPr>
                <w:rFonts w:ascii="宋体" w:eastAsia="宋体" w:hAnsi="宋体" w:cs="宋体"/>
                <w:lang w:eastAsia="zh-CN"/>
              </w:rPr>
              <w:t>应用性研究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CD076A"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Pr="0027619E">
              <w:rPr>
                <w:rFonts w:ascii="宋体" w:eastAsia="宋体" w:hAnsi="宋体" w:cs="宋体"/>
                <w:lang w:eastAsia="zh-CN"/>
              </w:rPr>
              <w:t>工程技术攻关研究</w:t>
            </w:r>
          </w:p>
          <w:p w14:paraId="48F705A2" w14:textId="6B57454D" w:rsidR="0027619E" w:rsidRPr="0027619E" w:rsidRDefault="00CD076A" w:rsidP="0027619E">
            <w:pPr>
              <w:tabs>
                <w:tab w:val="left" w:pos="2489"/>
                <w:tab w:val="left" w:pos="6014"/>
              </w:tabs>
              <w:spacing w:before="42"/>
              <w:ind w:right="824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>新开辟的研究方向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</w:r>
            <w:r w:rsidR="00B50DF8" w:rsidRPr="00B50DF8">
              <w:rPr>
                <w:rFonts w:ascii="宋体" w:eastAsia="宋体" w:hAnsi="宋体" w:cs="宋体" w:hint="eastAsia"/>
                <w:lang w:eastAsia="zh-CN"/>
              </w:rPr>
              <w:t>■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>已有研究方向的继续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□其他</w:t>
            </w:r>
          </w:p>
        </w:tc>
      </w:tr>
      <w:tr w:rsidR="0027619E" w:rsidRPr="0027619E" w14:paraId="5A7FBCB7" w14:textId="77777777" w:rsidTr="0027619E">
        <w:trPr>
          <w:trHeight w:hRule="exact" w:val="10995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5CB59" w14:textId="77777777" w:rsidR="0027619E" w:rsidRDefault="0027619E" w:rsidP="00160163">
            <w:pPr>
              <w:spacing w:line="311" w:lineRule="exact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2.博士论文的选题背景及意义和主要研究内容简介</w:t>
            </w:r>
          </w:p>
          <w:p w14:paraId="45B74605" w14:textId="77777777" w:rsidR="00472DA4" w:rsidRDefault="00472DA4" w:rsidP="00CA77E5">
            <w:pPr>
              <w:spacing w:line="360" w:lineRule="auto"/>
              <w:ind w:left="187" w:firstLineChars="200" w:firstLine="480"/>
              <w:jc w:val="left"/>
              <w:rPr>
                <w:rFonts w:ascii="宋体" w:eastAsia="宋体" w:hAnsi="宋体" w:cs="黑体"/>
                <w:sz w:val="24"/>
                <w:szCs w:val="24"/>
                <w:lang w:eastAsia="zh-CN"/>
              </w:rPr>
            </w:pPr>
            <w:r w:rsidRPr="00472DA4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智能运</w:t>
            </w:r>
            <w:proofErr w:type="gramStart"/>
            <w:r w:rsidRPr="00472DA4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维包括</w:t>
            </w:r>
            <w:proofErr w:type="gramEnd"/>
            <w:r w:rsidRPr="00472DA4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“运行”和“维修”两个层面的含义，是指制造企业或用户对其设备进行运行监测和维修优化的总称。智能运</w:t>
            </w:r>
            <w:proofErr w:type="gramStart"/>
            <w:r w:rsidRPr="00472DA4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维主要</w:t>
            </w:r>
            <w:proofErr w:type="gramEnd"/>
            <w:r w:rsidRPr="00472DA4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包括设备状态数据感知、状态数据处理、状态特征提取、状态评价与预测、故障诊断与预测、运行维修决策、车间维修管理等方面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。</w:t>
            </w:r>
            <w:r w:rsidR="00CA77E5" w:rsidRP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航空发动机</w:t>
            </w:r>
            <w:r w:rsidR="00CA77E5" w:rsidRPr="00CA77E5">
              <w:rPr>
                <w:rFonts w:ascii="宋体" w:eastAsia="宋体" w:hAnsi="宋体" w:cs="黑体"/>
                <w:sz w:val="24"/>
                <w:szCs w:val="24"/>
                <w:lang w:eastAsia="zh-CN"/>
              </w:rPr>
              <w:t>是一种高度复杂和精密的热力机械</w:t>
            </w:r>
            <w:r w:rsid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，研究其智能运</w:t>
            </w:r>
            <w:proofErr w:type="gramStart"/>
            <w:r w:rsid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维理论</w:t>
            </w:r>
            <w:proofErr w:type="gramEnd"/>
            <w:r w:rsid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与技术对于保证航空发动机的运行安全并降低其运</w:t>
            </w:r>
            <w:proofErr w:type="gramStart"/>
            <w:r w:rsid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维成本</w:t>
            </w:r>
            <w:proofErr w:type="gramEnd"/>
            <w:r w:rsidR="00CA77E5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具有重要意义。主要研究内容包括：</w:t>
            </w:r>
          </w:p>
          <w:p w14:paraId="4575B3DB" w14:textId="2584D747" w:rsidR="00CA77E5" w:rsidRPr="00C51A6C" w:rsidRDefault="00C51A6C" w:rsidP="00C51A6C">
            <w:pPr>
              <w:spacing w:line="360" w:lineRule="auto"/>
              <w:ind w:left="187" w:firstLine="480"/>
              <w:jc w:val="left"/>
              <w:rPr>
                <w:rFonts w:ascii="宋体" w:eastAsia="宋体" w:hAnsi="宋体" w:cs="黑体"/>
                <w:sz w:val="24"/>
                <w:szCs w:val="24"/>
                <w:lang w:eastAsia="zh-CN"/>
              </w:rPr>
            </w:pP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（1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）</w:t>
            </w:r>
            <w:r w:rsidR="00CA77E5"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航空发动机运维数据管理。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分析运维数据的静态集成与动态管控需求，研究传统数据管理与区块链技术融合的运维数据管理模式，研究基于区块链技术的运维数据管理平台架构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，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构建基于区块链技术的运维数据管理系统，解决运维数据可信保障问题，实现运维数据的有效管理。</w:t>
            </w:r>
          </w:p>
          <w:p w14:paraId="74915B0D" w14:textId="77777777" w:rsidR="00C51A6C" w:rsidRDefault="00C51A6C" w:rsidP="00C51A6C">
            <w:pPr>
              <w:spacing w:line="360" w:lineRule="auto"/>
              <w:ind w:left="187" w:firstLine="480"/>
              <w:jc w:val="left"/>
              <w:rPr>
                <w:rFonts w:ascii="宋体" w:eastAsia="宋体" w:hAnsi="宋体" w:cs="黑体"/>
                <w:sz w:val="24"/>
                <w:szCs w:val="24"/>
                <w:lang w:eastAsia="zh-CN"/>
              </w:rPr>
            </w:pP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（2）航空发动机机群健康状态评估。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为了准确掌握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发动机机群的健康状态，研究多参数融合的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发动机性能状态评估模型，研究基于振动信号的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发动机机械状态评估模型，研究多</w:t>
            </w:r>
            <w:proofErr w:type="gramStart"/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源信息</w:t>
            </w:r>
            <w:proofErr w:type="gramEnd"/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融合的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C51A6C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发动机机群健康状态排序方法。</w:t>
            </w:r>
          </w:p>
          <w:p w14:paraId="5520F4B7" w14:textId="77777777" w:rsidR="00D03141" w:rsidRDefault="00D03141" w:rsidP="00C51A6C">
            <w:pPr>
              <w:spacing w:line="360" w:lineRule="auto"/>
              <w:ind w:left="187" w:firstLine="480"/>
              <w:jc w:val="left"/>
              <w:rPr>
                <w:rFonts w:ascii="宋体" w:eastAsia="宋体" w:hAnsi="宋体" w:cs="黑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（3）航空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发动机即时维护决策推送与优化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。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研究多参数融合的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发动机性能衰退趋势预测技术，研究基于机队性能衰退曲线相似性匹配的趋势预测方法，研究性</w:t>
            </w:r>
            <w:proofErr w:type="gramStart"/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能状态</w:t>
            </w:r>
            <w:proofErr w:type="gramEnd"/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与寿命件关联耦合的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发动机全寿命维护决策优化方法，实现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发动机全寿命期的即时维护决策推送与优化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。</w:t>
            </w:r>
          </w:p>
          <w:p w14:paraId="5C80F68F" w14:textId="509745EC" w:rsidR="00D03141" w:rsidRPr="00C51A6C" w:rsidRDefault="00D03141" w:rsidP="00C51A6C">
            <w:pPr>
              <w:spacing w:line="360" w:lineRule="auto"/>
              <w:ind w:left="187" w:firstLine="480"/>
              <w:jc w:val="left"/>
              <w:rPr>
                <w:rFonts w:hint="eastAsia"/>
                <w:lang w:eastAsia="zh-CN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（4）航空发动机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备品备件需求预测与优化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。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分析零部件失效规律和需求类型，建立基于寿命函数的零部件可靠度预测初始模型，研究零部件可靠度预测初始模型的修正方法，研究考虑非计划送修的基于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发动机当前状态的</w:t>
            </w:r>
            <w:r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航空</w:t>
            </w:r>
            <w:r w:rsidRPr="00D03141">
              <w:rPr>
                <w:rFonts w:ascii="宋体" w:eastAsia="宋体" w:hAnsi="宋体" w:cs="黑体" w:hint="eastAsia"/>
                <w:sz w:val="24"/>
                <w:szCs w:val="24"/>
                <w:lang w:eastAsia="zh-CN"/>
              </w:rPr>
              <w:t>发动机送修数量预测方法，在此基础上，结合建立的零部件可靠度预测模型，实现备品备件的需求预测。</w:t>
            </w:r>
          </w:p>
        </w:tc>
      </w:tr>
      <w:tr w:rsidR="0027619E" w:rsidRPr="0027619E" w14:paraId="62E726AA" w14:textId="77777777" w:rsidTr="0027619E">
        <w:trPr>
          <w:trHeight w:hRule="exact" w:val="1943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A07A" w14:textId="77777777" w:rsidR="0027619E" w:rsidRPr="0027619E" w:rsidRDefault="0027619E" w:rsidP="0027619E">
            <w:pPr>
              <w:spacing w:before="27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3.该选题所依托的科研项目或研究经费来源情况</w:t>
            </w:r>
          </w:p>
          <w:p w14:paraId="15546D05" w14:textId="60057EC6" w:rsidR="0027619E" w:rsidRPr="0027619E" w:rsidRDefault="00E42FF8" w:rsidP="00E42FF8">
            <w:pPr>
              <w:spacing w:before="69"/>
              <w:ind w:left="67"/>
              <w:jc w:val="left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[</w:t>
            </w:r>
            <w:r>
              <w:rPr>
                <w:rFonts w:ascii="宋体" w:eastAsia="宋体" w:hAnsi="宋体" w:cs="宋体"/>
                <w:lang w:eastAsia="zh-CN"/>
              </w:rPr>
              <w:t xml:space="preserve">1] </w:t>
            </w:r>
            <w:r w:rsidRPr="00E42FF8">
              <w:rPr>
                <w:rFonts w:ascii="宋体" w:eastAsia="宋体" w:hAnsi="宋体" w:cs="宋体" w:hint="eastAsia"/>
                <w:lang w:eastAsia="zh-CN"/>
              </w:rPr>
              <w:t>国家科技重大专项课题，</w:t>
            </w:r>
            <w:r w:rsidRPr="00E42FF8">
              <w:rPr>
                <w:rFonts w:ascii="宋体" w:eastAsia="宋体" w:hAnsi="宋体" w:cs="宋体"/>
                <w:lang w:eastAsia="zh-CN"/>
              </w:rPr>
              <w:t>发动机外场运维信息管理与维护决策方法研究，202101-202412，380万，在</w:t>
            </w:r>
            <w:proofErr w:type="gramStart"/>
            <w:r w:rsidRPr="00E42FF8">
              <w:rPr>
                <w:rFonts w:ascii="宋体" w:eastAsia="宋体" w:hAnsi="宋体" w:cs="宋体"/>
                <w:lang w:eastAsia="zh-CN"/>
              </w:rPr>
              <w:t>研</w:t>
            </w:r>
            <w:proofErr w:type="gramEnd"/>
            <w:r w:rsidRPr="00E42FF8">
              <w:rPr>
                <w:rFonts w:ascii="宋体" w:eastAsia="宋体" w:hAnsi="宋体" w:cs="宋体"/>
                <w:lang w:eastAsia="zh-CN"/>
              </w:rPr>
              <w:t>，主</w:t>
            </w:r>
            <w:r w:rsidRPr="00E42FF8">
              <w:rPr>
                <w:rFonts w:ascii="宋体" w:eastAsia="宋体" w:hAnsi="宋体" w:cs="宋体" w:hint="eastAsia"/>
                <w:lang w:eastAsia="zh-CN"/>
              </w:rPr>
              <w:t>持</w:t>
            </w:r>
            <w:r w:rsidR="00F20133">
              <w:rPr>
                <w:rFonts w:ascii="宋体" w:eastAsia="宋体" w:hAnsi="宋体" w:cs="宋体" w:hint="eastAsia"/>
                <w:lang w:eastAsia="zh-CN"/>
              </w:rPr>
              <w:t>。</w:t>
            </w:r>
          </w:p>
        </w:tc>
      </w:tr>
    </w:tbl>
    <w:p w14:paraId="58C33D65" w14:textId="77777777" w:rsidR="00A61294" w:rsidRPr="0027619E" w:rsidRDefault="00A61294"/>
    <w:sectPr w:rsidR="00A61294" w:rsidRPr="0027619E" w:rsidSect="0027619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72AB" w14:textId="77777777" w:rsidR="004844CD" w:rsidRDefault="004844CD" w:rsidP="0027619E">
      <w:r>
        <w:separator/>
      </w:r>
    </w:p>
  </w:endnote>
  <w:endnote w:type="continuationSeparator" w:id="0">
    <w:p w14:paraId="2758517F" w14:textId="77777777" w:rsidR="004844CD" w:rsidRDefault="004844CD" w:rsidP="0027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5E5E" w14:textId="77777777" w:rsidR="004844CD" w:rsidRDefault="004844CD" w:rsidP="0027619E">
      <w:r>
        <w:separator/>
      </w:r>
    </w:p>
  </w:footnote>
  <w:footnote w:type="continuationSeparator" w:id="0">
    <w:p w14:paraId="0D972EE5" w14:textId="77777777" w:rsidR="004844CD" w:rsidRDefault="004844CD" w:rsidP="00276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E15C4"/>
    <w:multiLevelType w:val="hybridMultilevel"/>
    <w:tmpl w:val="2A3EDEA6"/>
    <w:lvl w:ilvl="0" w:tplc="8812A3E6">
      <w:start w:val="1"/>
      <w:numFmt w:val="decimal"/>
      <w:lvlText w:val="（%1）"/>
      <w:lvlJc w:val="left"/>
      <w:pPr>
        <w:ind w:left="13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7" w:hanging="420"/>
      </w:pPr>
    </w:lvl>
    <w:lvl w:ilvl="2" w:tplc="0409001B" w:tentative="1">
      <w:start w:val="1"/>
      <w:numFmt w:val="lowerRoman"/>
      <w:lvlText w:val="%3."/>
      <w:lvlJc w:val="right"/>
      <w:pPr>
        <w:ind w:left="1927" w:hanging="420"/>
      </w:pPr>
    </w:lvl>
    <w:lvl w:ilvl="3" w:tplc="0409000F" w:tentative="1">
      <w:start w:val="1"/>
      <w:numFmt w:val="decimal"/>
      <w:lvlText w:val="%4."/>
      <w:lvlJc w:val="left"/>
      <w:pPr>
        <w:ind w:left="2347" w:hanging="420"/>
      </w:pPr>
    </w:lvl>
    <w:lvl w:ilvl="4" w:tplc="04090019" w:tentative="1">
      <w:start w:val="1"/>
      <w:numFmt w:val="lowerLetter"/>
      <w:lvlText w:val="%5)"/>
      <w:lvlJc w:val="left"/>
      <w:pPr>
        <w:ind w:left="2767" w:hanging="420"/>
      </w:pPr>
    </w:lvl>
    <w:lvl w:ilvl="5" w:tplc="0409001B" w:tentative="1">
      <w:start w:val="1"/>
      <w:numFmt w:val="lowerRoman"/>
      <w:lvlText w:val="%6."/>
      <w:lvlJc w:val="right"/>
      <w:pPr>
        <w:ind w:left="3187" w:hanging="420"/>
      </w:pPr>
    </w:lvl>
    <w:lvl w:ilvl="6" w:tplc="0409000F" w:tentative="1">
      <w:start w:val="1"/>
      <w:numFmt w:val="decimal"/>
      <w:lvlText w:val="%7."/>
      <w:lvlJc w:val="left"/>
      <w:pPr>
        <w:ind w:left="3607" w:hanging="420"/>
      </w:pPr>
    </w:lvl>
    <w:lvl w:ilvl="7" w:tplc="04090019" w:tentative="1">
      <w:start w:val="1"/>
      <w:numFmt w:val="lowerLetter"/>
      <w:lvlText w:val="%8)"/>
      <w:lvlJc w:val="left"/>
      <w:pPr>
        <w:ind w:left="4027" w:hanging="420"/>
      </w:pPr>
    </w:lvl>
    <w:lvl w:ilvl="8" w:tplc="0409001B" w:tentative="1">
      <w:start w:val="1"/>
      <w:numFmt w:val="lowerRoman"/>
      <w:lvlText w:val="%9."/>
      <w:lvlJc w:val="right"/>
      <w:pPr>
        <w:ind w:left="4447" w:hanging="420"/>
      </w:pPr>
    </w:lvl>
  </w:abstractNum>
  <w:num w:numId="1" w16cid:durableId="14030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A2F"/>
    <w:rsid w:val="00015F6B"/>
    <w:rsid w:val="00160163"/>
    <w:rsid w:val="0027619E"/>
    <w:rsid w:val="003A2ED5"/>
    <w:rsid w:val="00407424"/>
    <w:rsid w:val="00423A2F"/>
    <w:rsid w:val="00472DA4"/>
    <w:rsid w:val="00482725"/>
    <w:rsid w:val="004844CD"/>
    <w:rsid w:val="004D0345"/>
    <w:rsid w:val="007B60CE"/>
    <w:rsid w:val="00934853"/>
    <w:rsid w:val="009A078C"/>
    <w:rsid w:val="00A61294"/>
    <w:rsid w:val="00B50DF8"/>
    <w:rsid w:val="00C51A6C"/>
    <w:rsid w:val="00CA77E5"/>
    <w:rsid w:val="00CD076A"/>
    <w:rsid w:val="00CD383D"/>
    <w:rsid w:val="00D03141"/>
    <w:rsid w:val="00E42FF8"/>
    <w:rsid w:val="00F2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27655"/>
  <w15:chartTrackingRefBased/>
  <w15:docId w15:val="{BDC07313-022A-408F-BBCA-D68C3C11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1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19E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7619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C51A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1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付 旭云</cp:lastModifiedBy>
  <cp:revision>16</cp:revision>
  <dcterms:created xsi:type="dcterms:W3CDTF">2019-08-30T02:12:00Z</dcterms:created>
  <dcterms:modified xsi:type="dcterms:W3CDTF">2022-08-24T09:40:00Z</dcterms:modified>
</cp:coreProperties>
</file>